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line="560" w:lineRule="exact"/>
        <w:rPr>
          <w:rFonts w:hint="default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20"/>
          <w:sz w:val="32"/>
          <w:szCs w:val="32"/>
          <w:lang w:val="en-US" w:eastAsia="zh-CN"/>
        </w:rPr>
        <w:t>附件</w:t>
      </w:r>
    </w:p>
    <w:p>
      <w:pPr>
        <w:pStyle w:val="2"/>
        <w:shd w:val="clear"/>
        <w:spacing w:line="560" w:lineRule="exact"/>
        <w:rPr>
          <w:rFonts w:hint="default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6年</w:t>
      </w: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广州科技创新创业大赛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全球</w:t>
      </w: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赛暨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香港科技大学百万奖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金创业大赛广州赛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海外赛道</w:t>
      </w: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晋级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复赛</w:t>
      </w: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44"/>
          <w:szCs w:val="44"/>
          <w:highlight w:val="none"/>
          <w:lang w:val="en-US" w:eastAsia="zh-CN"/>
        </w:rPr>
        <w:t>名单</w:t>
      </w:r>
    </w:p>
    <w:p>
      <w:pPr>
        <w:pStyle w:val="2"/>
        <w:shd w:val="clear"/>
        <w:rPr>
          <w:rFonts w:hint="default"/>
          <w:color w:val="auto"/>
          <w:lang w:val="en-US" w:eastAsia="zh-CN"/>
        </w:rPr>
      </w:pPr>
    </w:p>
    <w:tbl>
      <w:tblPr>
        <w:tblStyle w:val="3"/>
        <w:tblW w:w="48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598"/>
        <w:gridCol w:w="43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tblHeader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参赛企业/团队名称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AI-Powered Photonic Sensing Chips for Intelligent Detection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AI-Powered Photonic Sensing Chips for Intelligent Detection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智能体时代的企业安全基础设施​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信衍万智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智能门控自凝绵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华工创止先锋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可信物理AI基础设施及行业解决方案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固源团队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下一代脑机接口：闭环神经交互技术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Neuronic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色芯量子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色芯量子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小书童 · AI教育机器人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星启教育未来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AI驱动的肺结节无创导航系统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医觅吉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LeadForge-AI Agent驱动的创新药靶向小分子研发平台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海岱智药 （HeidAI）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云柱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Bamboo space technology limited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ZNotes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ZNotes Education Limited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Fold AI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RNAfold.AI Pty Ltd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DriveSafe AI:智驾安全评测方案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KITE Lab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e娃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e娃团队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Aillium Battery Risk Intelligence Platform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AILLIUM TECHNOLOGY PTE. LTD.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CARNIQ Technologies GmbH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CARNIQ Technologies GmbH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autonomous field labor as a service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GroundMind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高效非侵入性肿瘤早诊方法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肿瘤高效早诊团队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Project Magic Pen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Project Magic Pen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面向全年龄人群的广谱鼻喷流感疫苗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DIFFERENCE BIOTECH PTE. LTD.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Next-generation Drug Discovery: Novel Precision Oncology Therapeutics with γ-Tubulin Target Specificity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NucleoNova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dataLobster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dataLobster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骨智汇-基于多模态AI的骨科精准诊疗与全病程数字疗法平台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骨力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Tashi Network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TASHI NETWORK PTE. LTD.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&amp;VOLUME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&amp;VOLUME LTD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MystherAI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MYSTHERAI, S.L.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Light Reach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LIGHT REACH LLC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具身智能时代的人体接口基础设施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DEXORA TECHNOLOGY PTY LTD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HOME ENERGY｜PHYSICAL AI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LINKS INTELLITECH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3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电解液原位固化革新：破解储能电池漏液与热失控安全难题</w:t>
            </w:r>
          </w:p>
        </w:tc>
        <w:tc>
          <w:tcPr>
            <w:tcW w:w="22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瀚凝储能新材料团队</w:t>
            </w:r>
          </w:p>
        </w:tc>
      </w:tr>
    </w:tbl>
    <w:p/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06712"/>
    <w:rsid w:val="553D2C80"/>
    <w:rsid w:val="7069A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kinsoku w:val="0"/>
      <w:autoSpaceDE w:val="0"/>
      <w:autoSpaceDN w:val="0"/>
      <w:adjustRightInd w:val="0"/>
      <w:snapToGrid w:val="0"/>
      <w:ind w:left="420" w:leftChars="200"/>
      <w:jc w:val="left"/>
      <w:textAlignment w:val="baseline"/>
    </w:pPr>
    <w:rPr>
      <w:rFonts w:hint="default" w:ascii="Arial" w:hAnsi="Arial" w:cs="Arial"/>
      <w:snapToGrid/>
      <w:color w:val="000000"/>
      <w:kern w:val="0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2026-09-10T17:39:00Z</dcterms:created>
  <dc:creator>admin</dc:creator>
  <cp:lastModifiedBy>skjj</cp:lastModifiedBy>
  <dcterms:modified xsi:type="dcterms:W3CDTF">2026-09-11T09:34:11Z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8D4AD599595B4ED2BA5F5E937A9A08BB</vt:lpwstr>
  </property>
</Properties>
</file>